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6A9C1" w14:textId="40ACAB8C" w:rsidR="0090571B" w:rsidRPr="00A81C7C" w:rsidRDefault="0090571B" w:rsidP="00A81C7C">
      <w:pPr>
        <w:spacing w:line="276" w:lineRule="auto"/>
        <w:jc w:val="center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Anexo</w:t>
      </w:r>
      <w:r w:rsidR="6211EE73" w:rsidRPr="00A81C7C">
        <w:rPr>
          <w:rFonts w:ascii="Arial" w:hAnsi="Arial" w:cs="Arial"/>
          <w:b/>
          <w:bCs/>
          <w:szCs w:val="24"/>
          <w:lang w:val="es-CO"/>
        </w:rPr>
        <w:t xml:space="preserve"> </w:t>
      </w:r>
      <w:r w:rsidR="6C54C6F3" w:rsidRPr="00A81C7C">
        <w:rPr>
          <w:rFonts w:ascii="Arial" w:hAnsi="Arial" w:cs="Arial"/>
          <w:b/>
          <w:bCs/>
          <w:szCs w:val="24"/>
          <w:lang w:val="es-CO"/>
        </w:rPr>
        <w:t xml:space="preserve">13 </w:t>
      </w:r>
      <w:r w:rsidRPr="00A81C7C">
        <w:rPr>
          <w:rFonts w:ascii="Arial" w:hAnsi="Arial" w:cs="Arial"/>
          <w:b/>
          <w:bCs/>
          <w:szCs w:val="24"/>
          <w:lang w:val="es-CO"/>
        </w:rPr>
        <w:t>Protocolo nacional de articulación.</w:t>
      </w:r>
    </w:p>
    <w:p w14:paraId="47B3BC2D" w14:textId="77777777" w:rsidR="00A81C7C" w:rsidRPr="00A81C7C" w:rsidRDefault="00A81C7C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</w:p>
    <w:p w14:paraId="65577069" w14:textId="13CD64B0" w:rsidR="0090571B" w:rsidRPr="00A81C7C" w:rsidRDefault="0090571B" w:rsidP="00A81C7C">
      <w:pPr>
        <w:pStyle w:val="Prrafodelista"/>
        <w:numPr>
          <w:ilvl w:val="1"/>
          <w:numId w:val="2"/>
        </w:numPr>
        <w:spacing w:line="276" w:lineRule="auto"/>
        <w:ind w:left="0" w:firstLine="0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Propósito</w:t>
      </w:r>
    </w:p>
    <w:p w14:paraId="66805DBC" w14:textId="4C529E7E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El presente protocolo tiene como propósito orientar la coordinación y articulación entre las entidades que integran el Sistema de Justicia Familiar, garantizando una atención integral, oportuna y coordinada a las personas en situación de riesgo o víctimas de violencia en el contexto familiar. Su finalidad es establecer roles claros, responsabilidades institucionales y un flujo básico de remisión que permita una actuación conjunta,</w:t>
      </w:r>
      <w:r w:rsidR="00AA2D50" w:rsidRPr="00A81C7C">
        <w:rPr>
          <w:rFonts w:ascii="Arial" w:hAnsi="Arial" w:cs="Arial"/>
          <w:szCs w:val="24"/>
          <w:lang w:val="es-CO"/>
        </w:rPr>
        <w:t xml:space="preserve"> </w:t>
      </w:r>
      <w:r w:rsidRPr="00A81C7C">
        <w:rPr>
          <w:rFonts w:ascii="Arial" w:hAnsi="Arial" w:cs="Arial"/>
          <w:szCs w:val="24"/>
          <w:lang w:val="es-CO"/>
        </w:rPr>
        <w:t xml:space="preserve">evitando duplicidades </w:t>
      </w:r>
      <w:r w:rsidR="00873DED" w:rsidRPr="00A81C7C">
        <w:rPr>
          <w:rFonts w:ascii="Arial" w:hAnsi="Arial" w:cs="Arial"/>
          <w:szCs w:val="24"/>
        </w:rPr>
        <w:t>fortaleciendo la respuesta estatal conforme a los principios rectores establecidos en la Ley 2126 de 2021</w:t>
      </w:r>
      <w:r w:rsidRPr="00A81C7C">
        <w:rPr>
          <w:rFonts w:ascii="Arial" w:hAnsi="Arial" w:cs="Arial"/>
          <w:szCs w:val="24"/>
          <w:lang w:val="es-CO"/>
        </w:rPr>
        <w:t>.</w:t>
      </w:r>
    </w:p>
    <w:p w14:paraId="6598DD38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469A72AF" w14:textId="7F0F6A1C" w:rsidR="0090571B" w:rsidRPr="00A81C7C" w:rsidRDefault="0090571B" w:rsidP="00A81C7C">
      <w:pPr>
        <w:pStyle w:val="Prrafodelista"/>
        <w:numPr>
          <w:ilvl w:val="1"/>
          <w:numId w:val="2"/>
        </w:numPr>
        <w:spacing w:line="276" w:lineRule="auto"/>
        <w:ind w:left="0" w:firstLine="0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Principios orientadores</w:t>
      </w:r>
    </w:p>
    <w:p w14:paraId="218EC9CD" w14:textId="23E0E01D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 xml:space="preserve">Este protocolo se rige por los principios </w:t>
      </w:r>
      <w:r w:rsidR="006C494E" w:rsidRPr="00A81C7C">
        <w:rPr>
          <w:rFonts w:ascii="Arial" w:hAnsi="Arial" w:cs="Arial"/>
          <w:szCs w:val="24"/>
        </w:rPr>
        <w:t>definidos en el artículo 4 de la Ley 2126 de 2021</w:t>
      </w:r>
      <w:r w:rsidRPr="00A81C7C">
        <w:rPr>
          <w:rFonts w:ascii="Arial" w:hAnsi="Arial" w:cs="Arial"/>
          <w:szCs w:val="24"/>
          <w:lang w:val="es-CO"/>
        </w:rPr>
        <w:t>, entre ellos:</w:t>
      </w:r>
    </w:p>
    <w:p w14:paraId="0F89FDFE" w14:textId="77777777" w:rsidR="0069739D" w:rsidRPr="00A81C7C" w:rsidRDefault="0069739D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2993D40B" w14:textId="5EBF0CBA" w:rsidR="003D64A5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Respeto y garantía de los derechos humanos</w:t>
      </w:r>
      <w:r w:rsidRPr="00A81C7C">
        <w:rPr>
          <w:rFonts w:ascii="Arial" w:hAnsi="Arial" w:cs="Arial"/>
          <w:b/>
          <w:bCs/>
          <w:szCs w:val="24"/>
          <w:lang w:val="es-CO"/>
        </w:rPr>
        <w:br/>
      </w:r>
      <w:r w:rsidRPr="00A81C7C">
        <w:rPr>
          <w:rFonts w:ascii="Arial" w:hAnsi="Arial" w:cs="Arial"/>
          <w:szCs w:val="24"/>
          <w:lang w:val="es-CO"/>
        </w:rPr>
        <w:t>Todas las actuaciones de coordinación se adelantan reconociendo a las víctimas y a sus familias como titulares de derechos, asegurando que los acuerdos, las remisiones y las decisiones interinstitucionales contribuyan efectivamente a la protección y garantía de sus derechos.</w:t>
      </w:r>
    </w:p>
    <w:p w14:paraId="05480566" w14:textId="77777777" w:rsidR="004E2F1C" w:rsidRPr="00A81C7C" w:rsidRDefault="004E2F1C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777E4210" w14:textId="79CDC0C6" w:rsidR="003B3970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Oportunidad</w:t>
      </w:r>
      <w:r w:rsidR="003D64A5" w:rsidRPr="00A81C7C">
        <w:rPr>
          <w:rFonts w:ascii="Arial" w:hAnsi="Arial" w:cs="Arial"/>
          <w:b/>
          <w:bCs/>
          <w:szCs w:val="24"/>
          <w:lang w:val="es-CO"/>
        </w:rPr>
        <w:t xml:space="preserve"> </w:t>
      </w:r>
      <w:r w:rsidRPr="00A81C7C">
        <w:rPr>
          <w:rFonts w:ascii="Arial" w:hAnsi="Arial" w:cs="Arial"/>
          <w:szCs w:val="24"/>
          <w:lang w:val="es-CO"/>
        </w:rPr>
        <w:t>La articulación entre entidades debe favorecer respuestas oportunas y sin dilaciones injustificadas, de manera que la coordinación no se convierta en una barrera adicional, sino en un mecanismo para agilizar la protección y la atención integral.</w:t>
      </w:r>
    </w:p>
    <w:p w14:paraId="41B96675" w14:textId="7E9FF879" w:rsidR="003B3970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Eficacia</w:t>
      </w:r>
      <w:r w:rsidR="003D64A5" w:rsidRPr="00A81C7C">
        <w:rPr>
          <w:rFonts w:ascii="Arial" w:hAnsi="Arial" w:cs="Arial"/>
          <w:szCs w:val="24"/>
          <w:lang w:val="es-CO"/>
        </w:rPr>
        <w:t xml:space="preserve"> </w:t>
      </w:r>
      <w:r w:rsidRPr="00A81C7C">
        <w:rPr>
          <w:rFonts w:ascii="Arial" w:hAnsi="Arial" w:cs="Arial"/>
          <w:szCs w:val="24"/>
          <w:lang w:val="es-CO"/>
        </w:rPr>
        <w:t>Los mecanismos de articulación y los compromisos interinstitucionales deben orientarse a producir resultados concretos en la protección de derechos, la prevención y la superación de las situaciones de riesgo identificadas en cada caso.</w:t>
      </w:r>
    </w:p>
    <w:p w14:paraId="0EEA567C" w14:textId="40B19F87" w:rsidR="003B3970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Autonomía e independencia</w:t>
      </w:r>
      <w:r w:rsidR="00E7061A" w:rsidRPr="00A81C7C">
        <w:rPr>
          <w:rFonts w:ascii="Arial" w:hAnsi="Arial" w:cs="Arial"/>
          <w:szCs w:val="24"/>
          <w:lang w:val="es-CO"/>
        </w:rPr>
        <w:t xml:space="preserve"> </w:t>
      </w:r>
      <w:r w:rsidRPr="00A81C7C">
        <w:rPr>
          <w:rFonts w:ascii="Arial" w:hAnsi="Arial" w:cs="Arial"/>
          <w:szCs w:val="24"/>
          <w:lang w:val="es-CO"/>
        </w:rPr>
        <w:t>Cada entidad conserva su autonomía y competencias legales, pero actúa en coordinación con las demás, respetando los límites de sus funciones y evitando interferencias indebidas, sin que la articulación implique subordinación institucional.</w:t>
      </w:r>
    </w:p>
    <w:p w14:paraId="4F049702" w14:textId="00972871" w:rsidR="003B3970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Debida diligencia</w:t>
      </w:r>
      <w:r w:rsidR="00E7061A" w:rsidRPr="00A81C7C">
        <w:rPr>
          <w:rFonts w:ascii="Arial" w:hAnsi="Arial" w:cs="Arial"/>
          <w:b/>
          <w:bCs/>
          <w:szCs w:val="24"/>
          <w:lang w:val="es-CO"/>
        </w:rPr>
        <w:t xml:space="preserve">: </w:t>
      </w:r>
      <w:r w:rsidRPr="00A81C7C">
        <w:rPr>
          <w:rFonts w:ascii="Arial" w:hAnsi="Arial" w:cs="Arial"/>
          <w:szCs w:val="24"/>
          <w:lang w:val="es-CO"/>
        </w:rPr>
        <w:t>Las entidades que intervienen en la articulación deben actuar con celeridad, cuidado y exhaustividad, adoptando las medidas necesarias para prevenir, atender y hacer seguimiento a las violencias en el contexto familiar, de forma coordinada y responsable.</w:t>
      </w:r>
    </w:p>
    <w:p w14:paraId="7E220366" w14:textId="464C3EF2" w:rsidR="003B3970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Interés superior de niñas, niños y adolescentes</w:t>
      </w:r>
      <w:r w:rsidR="00E7061A" w:rsidRPr="00A81C7C">
        <w:rPr>
          <w:rFonts w:ascii="Arial" w:hAnsi="Arial" w:cs="Arial"/>
          <w:b/>
          <w:bCs/>
          <w:szCs w:val="24"/>
          <w:lang w:val="es-CO"/>
        </w:rPr>
        <w:t>:</w:t>
      </w:r>
      <w:r w:rsidR="004E2F1C" w:rsidRPr="00A81C7C">
        <w:rPr>
          <w:rFonts w:ascii="Arial" w:hAnsi="Arial" w:cs="Arial"/>
          <w:szCs w:val="24"/>
          <w:lang w:val="es-CO"/>
        </w:rPr>
        <w:t xml:space="preserve"> </w:t>
      </w:r>
      <w:r w:rsidRPr="00A81C7C">
        <w:rPr>
          <w:rFonts w:ascii="Arial" w:hAnsi="Arial" w:cs="Arial"/>
          <w:szCs w:val="24"/>
          <w:lang w:val="es-CO"/>
        </w:rPr>
        <w:t>En todas las decisiones de coordinación, priorización de casos, remisiones y acuerdos interinstitucionales, se deberá considerar de manera prevalente el interés superior de niñas, niños y adolescentes, garantizando su protección integral.</w:t>
      </w:r>
    </w:p>
    <w:p w14:paraId="79E95623" w14:textId="29215E5F" w:rsidR="003B3970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No discriminación</w:t>
      </w:r>
      <w:r w:rsidR="00E7061A" w:rsidRPr="00A81C7C">
        <w:rPr>
          <w:rFonts w:ascii="Arial" w:hAnsi="Arial" w:cs="Arial"/>
          <w:b/>
          <w:bCs/>
          <w:szCs w:val="24"/>
          <w:lang w:val="es-CO"/>
        </w:rPr>
        <w:t>:</w:t>
      </w:r>
      <w:r w:rsidR="004E2F1C" w:rsidRPr="00A81C7C">
        <w:rPr>
          <w:rFonts w:ascii="Arial" w:hAnsi="Arial" w:cs="Arial"/>
          <w:szCs w:val="24"/>
          <w:lang w:val="es-CO"/>
        </w:rPr>
        <w:t xml:space="preserve"> </w:t>
      </w:r>
      <w:r w:rsidRPr="00A81C7C">
        <w:rPr>
          <w:rFonts w:ascii="Arial" w:hAnsi="Arial" w:cs="Arial"/>
          <w:szCs w:val="24"/>
          <w:lang w:val="es-CO"/>
        </w:rPr>
        <w:t xml:space="preserve">La articulación entre entidades debe garantizar el acceso y la </w:t>
      </w:r>
      <w:r w:rsidRPr="00A81C7C">
        <w:rPr>
          <w:rFonts w:ascii="Arial" w:hAnsi="Arial" w:cs="Arial"/>
          <w:szCs w:val="24"/>
          <w:lang w:val="es-CO"/>
        </w:rPr>
        <w:lastRenderedPageBreak/>
        <w:t>respuesta institucional sin discriminación alguna, en razón de sexo, género, orientación sexual, identidad de género, edad, origen étnico, situación socioeconómica, condición migratoria, discapacidad u otras condiciones.</w:t>
      </w:r>
    </w:p>
    <w:p w14:paraId="079A871C" w14:textId="032F8CA1" w:rsidR="003B3970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Imparcialidad</w:t>
      </w:r>
      <w:r w:rsidR="003D64A5" w:rsidRPr="00A81C7C">
        <w:rPr>
          <w:rFonts w:ascii="Arial" w:hAnsi="Arial" w:cs="Arial"/>
          <w:b/>
          <w:bCs/>
          <w:szCs w:val="24"/>
          <w:lang w:val="es-CO"/>
        </w:rPr>
        <w:t xml:space="preserve"> </w:t>
      </w:r>
      <w:r w:rsidRPr="00A81C7C">
        <w:rPr>
          <w:rFonts w:ascii="Arial" w:hAnsi="Arial" w:cs="Arial"/>
          <w:szCs w:val="24"/>
          <w:lang w:val="es-CO"/>
        </w:rPr>
        <w:t>Las actuaciones de coordinación interinstitucional se desarrollan sin sesgos ni favoritismos hacia ninguna de las partes, garantizando que las decisiones conjuntas se adopten con criterios técnicos, objetivos y ajustados a la ley.</w:t>
      </w:r>
    </w:p>
    <w:p w14:paraId="4E3E0387" w14:textId="0683B4C1" w:rsidR="003B3970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Atención diferenciada e interseccional</w:t>
      </w:r>
      <w:r w:rsidR="00E7061A" w:rsidRPr="00A81C7C">
        <w:rPr>
          <w:rFonts w:ascii="Arial" w:hAnsi="Arial" w:cs="Arial"/>
          <w:b/>
          <w:bCs/>
          <w:szCs w:val="24"/>
          <w:lang w:val="es-CO"/>
        </w:rPr>
        <w:t>:</w:t>
      </w:r>
      <w:r w:rsidR="004E2F1C" w:rsidRPr="00A81C7C">
        <w:rPr>
          <w:rFonts w:ascii="Arial" w:hAnsi="Arial" w:cs="Arial"/>
          <w:b/>
          <w:bCs/>
          <w:szCs w:val="24"/>
          <w:lang w:val="es-CO"/>
        </w:rPr>
        <w:t xml:space="preserve"> </w:t>
      </w:r>
      <w:r w:rsidRPr="00A81C7C">
        <w:rPr>
          <w:rFonts w:ascii="Arial" w:hAnsi="Arial" w:cs="Arial"/>
          <w:szCs w:val="24"/>
          <w:lang w:val="es-CO"/>
        </w:rPr>
        <w:t>Los acuerdos de coordinación y las rutas interinstitucionales deben considerar las condiciones específicas de las personas y los territorios, reconociendo factores como género, edad, pertenencia étnica, ruralidad, discapacidad u otras situaciones que incrementan la vulnerabilidad.</w:t>
      </w:r>
    </w:p>
    <w:p w14:paraId="78AD8827" w14:textId="0035DF77" w:rsidR="00116E30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Enfoque de género</w:t>
      </w:r>
      <w:r w:rsidR="00E7061A" w:rsidRPr="00A81C7C">
        <w:rPr>
          <w:rFonts w:ascii="Arial" w:hAnsi="Arial" w:cs="Arial"/>
          <w:b/>
          <w:bCs/>
          <w:szCs w:val="24"/>
          <w:lang w:val="es-CO"/>
        </w:rPr>
        <w:t>:</w:t>
      </w:r>
      <w:r w:rsidR="004E2F1C" w:rsidRPr="00A81C7C">
        <w:rPr>
          <w:rFonts w:ascii="Arial" w:hAnsi="Arial" w:cs="Arial"/>
          <w:szCs w:val="24"/>
          <w:lang w:val="es-CO"/>
        </w:rPr>
        <w:t xml:space="preserve"> </w:t>
      </w:r>
      <w:r w:rsidRPr="00A81C7C">
        <w:rPr>
          <w:rFonts w:ascii="Arial" w:hAnsi="Arial" w:cs="Arial"/>
          <w:szCs w:val="24"/>
          <w:lang w:val="es-CO"/>
        </w:rPr>
        <w:t>La articulación institucional debe reconocer las desigualdades estructurales de género y asegurar que las respuestas conjuntas contribuyan a la protección efectiva de las mujeres y de las personas con identidades y orientaciones diversas, frente a las violencias basadas en género.</w:t>
      </w:r>
    </w:p>
    <w:p w14:paraId="564B49A8" w14:textId="61DC90DA" w:rsidR="003B3970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Corresponsabilidad</w:t>
      </w:r>
      <w:r w:rsidR="00916FAB" w:rsidRPr="00A81C7C">
        <w:rPr>
          <w:rFonts w:ascii="Arial" w:hAnsi="Arial" w:cs="Arial"/>
          <w:b/>
          <w:bCs/>
          <w:szCs w:val="24"/>
          <w:lang w:val="es-CO"/>
        </w:rPr>
        <w:t>:</w:t>
      </w:r>
      <w:r w:rsidR="00916FAB" w:rsidRPr="00A81C7C">
        <w:rPr>
          <w:rFonts w:ascii="Arial" w:hAnsi="Arial" w:cs="Arial"/>
          <w:szCs w:val="24"/>
          <w:lang w:val="es-CO"/>
        </w:rPr>
        <w:t xml:space="preserve"> </w:t>
      </w:r>
      <w:r w:rsidRPr="00A81C7C">
        <w:rPr>
          <w:rFonts w:ascii="Arial" w:hAnsi="Arial" w:cs="Arial"/>
          <w:szCs w:val="24"/>
          <w:lang w:val="es-CO"/>
        </w:rPr>
        <w:t>La prevención y atención de las violencias en el contexto familiar es una responsabilidad compartida entre las distintas entidades del Estado y otros actores del territorio. La matriz de competencias y los acuerdos de coordinación deberán reflejar esta corresponsabilidad, evitando que las cargas recaigan exclusivamente en las comisarías de familia.</w:t>
      </w:r>
    </w:p>
    <w:p w14:paraId="215591F1" w14:textId="12348B4E" w:rsidR="003B3970" w:rsidRPr="00A81C7C" w:rsidRDefault="003B3970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Coordinación</w:t>
      </w:r>
      <w:r w:rsidR="00916FAB" w:rsidRPr="00A81C7C">
        <w:rPr>
          <w:rFonts w:ascii="Arial" w:hAnsi="Arial" w:cs="Arial"/>
          <w:szCs w:val="24"/>
          <w:lang w:val="es-CO"/>
        </w:rPr>
        <w:t xml:space="preserve">: </w:t>
      </w:r>
      <w:r w:rsidRPr="00A81C7C">
        <w:rPr>
          <w:rFonts w:ascii="Arial" w:hAnsi="Arial" w:cs="Arial"/>
          <w:szCs w:val="24"/>
          <w:lang w:val="es-CO"/>
        </w:rPr>
        <w:t xml:space="preserve">Las entidades involucradas deben actuar de manera articulada, coherente y complementaria, utilizando los canales, protocolos </w:t>
      </w:r>
      <w:r w:rsidR="00675E69" w:rsidRPr="00A81C7C">
        <w:rPr>
          <w:rFonts w:ascii="Arial" w:hAnsi="Arial" w:cs="Arial"/>
          <w:szCs w:val="24"/>
          <w:lang w:val="es-CO"/>
        </w:rPr>
        <w:t>definidos</w:t>
      </w:r>
      <w:r w:rsidRPr="00A81C7C">
        <w:rPr>
          <w:rFonts w:ascii="Arial" w:hAnsi="Arial" w:cs="Arial"/>
          <w:szCs w:val="24"/>
          <w:lang w:val="es-CO"/>
        </w:rPr>
        <w:t xml:space="preserve"> para garantizar rutas claras de remisión, seguimiento conjunto y trazabilidad de las actuaciones.</w:t>
      </w:r>
    </w:p>
    <w:p w14:paraId="65C50FB4" w14:textId="77777777" w:rsidR="0069739D" w:rsidRPr="00A81C7C" w:rsidRDefault="0069739D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69A0635F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3. Ámbito de aplicación</w:t>
      </w:r>
    </w:p>
    <w:p w14:paraId="4911154B" w14:textId="6C164B26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 xml:space="preserve">El protocolo aplica a las Comisarías de Familia y a las entidades que conforman el Sistema de Justicia Familiar, incluyendo el Instituto Colombiano de Bienestar Familiar (ICBF), la Policía Nacional, la Defensoría del Pueblo, la </w:t>
      </w:r>
      <w:proofErr w:type="gramStart"/>
      <w:r w:rsidRPr="00A81C7C">
        <w:rPr>
          <w:rFonts w:ascii="Arial" w:hAnsi="Arial" w:cs="Arial"/>
          <w:szCs w:val="24"/>
          <w:lang w:val="es-CO"/>
        </w:rPr>
        <w:t>Fiscalía General</w:t>
      </w:r>
      <w:proofErr w:type="gramEnd"/>
      <w:r w:rsidRPr="00A81C7C">
        <w:rPr>
          <w:rFonts w:ascii="Arial" w:hAnsi="Arial" w:cs="Arial"/>
          <w:szCs w:val="24"/>
          <w:lang w:val="es-CO"/>
        </w:rPr>
        <w:t xml:space="preserve"> de la Nación, sector Salud y Educación (ámbito territorial), y las alcaldías y gobernaciones en su función de coordinación territorial.</w:t>
      </w:r>
    </w:p>
    <w:p w14:paraId="2F6AB9A9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2C6152F3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4. Roles y responsabilidades institucionales</w:t>
      </w:r>
    </w:p>
    <w:p w14:paraId="2CB803DA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Comisarías de Familia</w:t>
      </w:r>
    </w:p>
    <w:p w14:paraId="2A78984A" w14:textId="77777777" w:rsidR="0090571B" w:rsidRPr="00A81C7C" w:rsidRDefault="0090571B" w:rsidP="00A81C7C">
      <w:pPr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Actúan como ente articulador principal del sistema local de justicia familiar.</w:t>
      </w:r>
    </w:p>
    <w:p w14:paraId="6F771D68" w14:textId="77777777" w:rsidR="0090571B" w:rsidRPr="00A81C7C" w:rsidRDefault="0090571B" w:rsidP="00A81C7C">
      <w:pPr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Reciben, orientan y deciden sobre las medidas de protección inmediatas.</w:t>
      </w:r>
    </w:p>
    <w:p w14:paraId="47B00668" w14:textId="77777777" w:rsidR="0090571B" w:rsidRPr="00A81C7C" w:rsidRDefault="0090571B" w:rsidP="00A81C7C">
      <w:pPr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Coordinan la activación de rutas con las entidades sectoriales y supervisan el cumplimiento de las medidas.</w:t>
      </w:r>
    </w:p>
    <w:p w14:paraId="46F2A5B6" w14:textId="77777777" w:rsidR="0090571B" w:rsidRPr="00A81C7C" w:rsidRDefault="0090571B" w:rsidP="00A81C7C">
      <w:pPr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Mantienen comunicación permanente con las entidades receptoras y consolidan la información para el seguimiento.</w:t>
      </w:r>
    </w:p>
    <w:p w14:paraId="65CC2077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63065DE7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Instituto Colombiano de Bienestar Familiar (ICBF)</w:t>
      </w:r>
    </w:p>
    <w:p w14:paraId="064D5D9C" w14:textId="77777777" w:rsidR="0090571B" w:rsidRPr="00A81C7C" w:rsidRDefault="0090571B" w:rsidP="00A81C7C">
      <w:pPr>
        <w:numPr>
          <w:ilvl w:val="0"/>
          <w:numId w:val="5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lastRenderedPageBreak/>
        <w:t>Atiende y garantiza la protección integral de niños, niñas y adolescentes.</w:t>
      </w:r>
    </w:p>
    <w:p w14:paraId="610CD25B" w14:textId="77777777" w:rsidR="0090571B" w:rsidRPr="00A81C7C" w:rsidRDefault="0090571B" w:rsidP="00A81C7C">
      <w:pPr>
        <w:numPr>
          <w:ilvl w:val="0"/>
          <w:numId w:val="5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Interviene en casos de amenaza o vulneración de derechos, en especial aquellos relacionados con violencias sexuales o fuera del contexto de violencia intrafamiliar.</w:t>
      </w:r>
    </w:p>
    <w:p w14:paraId="43EEDF19" w14:textId="77777777" w:rsidR="0090571B" w:rsidRPr="00A81C7C" w:rsidRDefault="0090571B" w:rsidP="00A81C7C">
      <w:pPr>
        <w:numPr>
          <w:ilvl w:val="0"/>
          <w:numId w:val="5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Coordina con las Comisarías la activación de procesos de restablecimiento de derechos.</w:t>
      </w:r>
    </w:p>
    <w:p w14:paraId="3DF1AD74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7B982024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Policía Nacional</w:t>
      </w:r>
    </w:p>
    <w:p w14:paraId="1615FF97" w14:textId="77777777" w:rsidR="0090571B" w:rsidRPr="00A81C7C" w:rsidRDefault="0090571B" w:rsidP="00A81C7C">
      <w:pPr>
        <w:numPr>
          <w:ilvl w:val="0"/>
          <w:numId w:val="6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Brinda apoyo inmediato para la ejecución de medidas de protección y restablecimiento.</w:t>
      </w:r>
    </w:p>
    <w:p w14:paraId="64FAF6BB" w14:textId="77777777" w:rsidR="0090571B" w:rsidRPr="00A81C7C" w:rsidRDefault="0090571B" w:rsidP="00A81C7C">
      <w:pPr>
        <w:numPr>
          <w:ilvl w:val="0"/>
          <w:numId w:val="6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Acompaña a las víctimas en situaciones de riesgo y asegura el cumplimiento de las decisiones administrativas.</w:t>
      </w:r>
    </w:p>
    <w:p w14:paraId="0AD84A97" w14:textId="77777777" w:rsidR="0090571B" w:rsidRPr="00A81C7C" w:rsidRDefault="0090571B" w:rsidP="00A81C7C">
      <w:pPr>
        <w:numPr>
          <w:ilvl w:val="0"/>
          <w:numId w:val="6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Informa a la Comisaría y a las autoridades judiciales sobre el desarrollo de las actuaciones.</w:t>
      </w:r>
    </w:p>
    <w:p w14:paraId="26B2307D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03DC4AFF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3535DA80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Fiscalía General de la Nación</w:t>
      </w:r>
    </w:p>
    <w:p w14:paraId="6E0C2D60" w14:textId="77777777" w:rsidR="0090571B" w:rsidRPr="00A81C7C" w:rsidRDefault="0090571B" w:rsidP="00A81C7C">
      <w:pPr>
        <w:numPr>
          <w:ilvl w:val="0"/>
          <w:numId w:val="8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Investiga los hechos que constituyan delitos en el marco de la violencia en el contexto familiar.</w:t>
      </w:r>
    </w:p>
    <w:p w14:paraId="6435A3A6" w14:textId="77777777" w:rsidR="0090571B" w:rsidRPr="00A81C7C" w:rsidRDefault="0090571B" w:rsidP="00A81C7C">
      <w:pPr>
        <w:numPr>
          <w:ilvl w:val="0"/>
          <w:numId w:val="8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Recibe denuncias, ordena medidas de protección en el ámbito penal y articula con las Comisarías para evitar duplicidad de actuaciones.</w:t>
      </w:r>
    </w:p>
    <w:p w14:paraId="78D4072B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79240417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Sector Salud</w:t>
      </w:r>
    </w:p>
    <w:p w14:paraId="75BDCFC7" w14:textId="77777777" w:rsidR="0090571B" w:rsidRPr="00A81C7C" w:rsidRDefault="0090571B" w:rsidP="00A81C7C">
      <w:pPr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Garantiza la atención médica, psicológica y forense a las víctimas.</w:t>
      </w:r>
    </w:p>
    <w:p w14:paraId="0DD8F504" w14:textId="77777777" w:rsidR="0090571B" w:rsidRPr="00A81C7C" w:rsidRDefault="0090571B" w:rsidP="00A81C7C">
      <w:pPr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Reporta los casos de violencia familiar a las Comisarías de Familia y al sistema de información correspondiente.</w:t>
      </w:r>
    </w:p>
    <w:p w14:paraId="573C4756" w14:textId="77777777" w:rsidR="0090571B" w:rsidRPr="00A81C7C" w:rsidRDefault="0090571B" w:rsidP="00A81C7C">
      <w:pPr>
        <w:numPr>
          <w:ilvl w:val="0"/>
          <w:numId w:val="9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Participa en la red interinstitucional local para la atención y seguimiento.</w:t>
      </w:r>
    </w:p>
    <w:p w14:paraId="3E898084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3C140C5D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Sector Educación</w:t>
      </w:r>
    </w:p>
    <w:p w14:paraId="682B1F67" w14:textId="77777777" w:rsidR="0090571B" w:rsidRPr="00A81C7C" w:rsidRDefault="0090571B" w:rsidP="00A81C7C">
      <w:pPr>
        <w:numPr>
          <w:ilvl w:val="0"/>
          <w:numId w:val="10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Identifica posibles situaciones de violencia en el entorno escolar.</w:t>
      </w:r>
    </w:p>
    <w:p w14:paraId="5960A788" w14:textId="77777777" w:rsidR="0090571B" w:rsidRPr="00A81C7C" w:rsidRDefault="0090571B" w:rsidP="00A81C7C">
      <w:pPr>
        <w:numPr>
          <w:ilvl w:val="0"/>
          <w:numId w:val="10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Activa los mecanismos de reporte y remisión hacia la Comisaría de Familia o el ICBF.</w:t>
      </w:r>
    </w:p>
    <w:p w14:paraId="6C07E292" w14:textId="77777777" w:rsidR="0090571B" w:rsidRPr="00A81C7C" w:rsidRDefault="0090571B" w:rsidP="00A81C7C">
      <w:pPr>
        <w:numPr>
          <w:ilvl w:val="0"/>
          <w:numId w:val="10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Implementa acciones pedagógicas de prevención y sensibilización.</w:t>
      </w:r>
    </w:p>
    <w:p w14:paraId="058BF6E6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658B92C5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Gobernaciones y Alcaldías</w:t>
      </w:r>
    </w:p>
    <w:p w14:paraId="368A78C4" w14:textId="77777777" w:rsidR="0090571B" w:rsidRPr="00A81C7C" w:rsidRDefault="0090571B" w:rsidP="00A81C7C">
      <w:pPr>
        <w:numPr>
          <w:ilvl w:val="0"/>
          <w:numId w:val="11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Ejercen la coordinación territorial del Sistema de Justicia Familiar.</w:t>
      </w:r>
    </w:p>
    <w:p w14:paraId="7947D1F0" w14:textId="77777777" w:rsidR="0090571B" w:rsidRPr="00A81C7C" w:rsidRDefault="0090571B" w:rsidP="00A81C7C">
      <w:pPr>
        <w:numPr>
          <w:ilvl w:val="0"/>
          <w:numId w:val="11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Convocan las Mesas Interinstitucionales de Justicia Familiar.</w:t>
      </w:r>
    </w:p>
    <w:p w14:paraId="534DE31D" w14:textId="77777777" w:rsidR="0090571B" w:rsidRPr="00A81C7C" w:rsidRDefault="0090571B" w:rsidP="00A81C7C">
      <w:pPr>
        <w:numPr>
          <w:ilvl w:val="0"/>
          <w:numId w:val="11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Facilitan recursos y seguimiento al funcionamiento de las Comisarías de Familia y sus articulaciones locales.</w:t>
      </w:r>
    </w:p>
    <w:p w14:paraId="6E0EC459" w14:textId="77777777" w:rsidR="0090571B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054F2EF1" w14:textId="77777777" w:rsidR="00BE0CA9" w:rsidRPr="00A81C7C" w:rsidRDefault="00BE0CA9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478F6AFD" w14:textId="2D363DDE" w:rsidR="0090571B" w:rsidRPr="00A81C7C" w:rsidRDefault="0090571B" w:rsidP="00A81C7C">
      <w:pPr>
        <w:pStyle w:val="Prrafodelista"/>
        <w:numPr>
          <w:ilvl w:val="1"/>
          <w:numId w:val="11"/>
        </w:numPr>
        <w:spacing w:line="276" w:lineRule="auto"/>
        <w:ind w:left="0" w:firstLine="0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lastRenderedPageBreak/>
        <w:t>Flujo básico de remisión y coordinación de casos</w:t>
      </w:r>
    </w:p>
    <w:p w14:paraId="64085209" w14:textId="77777777" w:rsidR="0090571B" w:rsidRPr="00A81C7C" w:rsidRDefault="0090571B" w:rsidP="00A81C7C">
      <w:pPr>
        <w:pStyle w:val="Prrafodelista"/>
        <w:spacing w:line="276" w:lineRule="auto"/>
        <w:ind w:left="0"/>
        <w:jc w:val="both"/>
        <w:rPr>
          <w:rFonts w:ascii="Arial" w:hAnsi="Arial" w:cs="Arial"/>
          <w:b/>
          <w:bCs/>
          <w:szCs w:val="24"/>
          <w:lang w:val="es-CO"/>
        </w:rPr>
      </w:pPr>
    </w:p>
    <w:p w14:paraId="6B2DE6B1" w14:textId="345C3B9E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Recepción y orientación inicial:</w:t>
      </w:r>
    </w:p>
    <w:p w14:paraId="0701C70B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</w:p>
    <w:p w14:paraId="5AF7F99A" w14:textId="77777777" w:rsidR="0090571B" w:rsidRPr="00A81C7C" w:rsidRDefault="0090571B" w:rsidP="00A81C7C">
      <w:pPr>
        <w:pStyle w:val="Prrafodelista"/>
        <w:numPr>
          <w:ilvl w:val="1"/>
          <w:numId w:val="15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La Comisaría de Familia recibe el caso, escucha a la persona afectada y verifica la naturaleza de la situación.</w:t>
      </w:r>
    </w:p>
    <w:p w14:paraId="2777FDE1" w14:textId="77777777" w:rsidR="0090571B" w:rsidRPr="00A81C7C" w:rsidRDefault="0090571B" w:rsidP="00A81C7C">
      <w:pPr>
        <w:pStyle w:val="Prrafodelista"/>
        <w:numPr>
          <w:ilvl w:val="1"/>
          <w:numId w:val="15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Si corresponde a violencia en el contexto familiar, se procede con las medidas de protección y se define la necesidad de remisiones.</w:t>
      </w:r>
    </w:p>
    <w:p w14:paraId="5A0C656E" w14:textId="77777777" w:rsidR="0090571B" w:rsidRPr="00A81C7C" w:rsidRDefault="0090571B" w:rsidP="00A81C7C">
      <w:pPr>
        <w:pStyle w:val="Prrafodelista"/>
        <w:spacing w:line="276" w:lineRule="auto"/>
        <w:ind w:left="0"/>
        <w:jc w:val="both"/>
        <w:rPr>
          <w:rFonts w:ascii="Arial" w:hAnsi="Arial" w:cs="Arial"/>
          <w:szCs w:val="24"/>
          <w:lang w:val="es-CO"/>
        </w:rPr>
      </w:pPr>
    </w:p>
    <w:p w14:paraId="1640646A" w14:textId="5167EB13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Evaluación y determinación de entidad competente:</w:t>
      </w:r>
    </w:p>
    <w:p w14:paraId="3F58F17A" w14:textId="77777777" w:rsidR="0090571B" w:rsidRPr="00A81C7C" w:rsidRDefault="0090571B" w:rsidP="00A81C7C">
      <w:pPr>
        <w:pStyle w:val="Prrafodelista"/>
        <w:numPr>
          <w:ilvl w:val="1"/>
          <w:numId w:val="16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Si el caso involucra niños, niñas o adolescentes con violencia sexual, se remite al ICBF o a la Fiscalía, según corresponda.</w:t>
      </w:r>
    </w:p>
    <w:p w14:paraId="5234AD49" w14:textId="77777777" w:rsidR="0090571B" w:rsidRPr="00A81C7C" w:rsidRDefault="0090571B" w:rsidP="00A81C7C">
      <w:pPr>
        <w:numPr>
          <w:ilvl w:val="1"/>
          <w:numId w:val="16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Si se trata de violencia física, psicológica o económica, la Comisaría mantiene la competencia y coordina con los sectores requeridos.</w:t>
      </w:r>
    </w:p>
    <w:p w14:paraId="05AC4D6A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49E8ACCD" w14:textId="46DB9C80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Remisión y activación interinstitucional</w:t>
      </w:r>
    </w:p>
    <w:p w14:paraId="7E3A01CC" w14:textId="77777777" w:rsidR="0090571B" w:rsidRPr="00A81C7C" w:rsidRDefault="0090571B" w:rsidP="00A81C7C">
      <w:pPr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La Comisaría emite la remisión formal a la entidad correspondiente (Salud, Medicina legal, Educación, Fiscalía, Policía o ICBF).</w:t>
      </w:r>
    </w:p>
    <w:p w14:paraId="1263DA56" w14:textId="77777777" w:rsidR="0090571B" w:rsidRPr="00A81C7C" w:rsidRDefault="0090571B" w:rsidP="00A81C7C">
      <w:pPr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Se comparte la información necesaria para la actuación, preservando la confidencialidad y protección de datos.</w:t>
      </w:r>
    </w:p>
    <w:p w14:paraId="1BBBC606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Atención sectorial y seguimiento</w:t>
      </w:r>
    </w:p>
    <w:p w14:paraId="0DA8912D" w14:textId="77777777" w:rsidR="0090571B" w:rsidRPr="00A81C7C" w:rsidRDefault="0090571B" w:rsidP="00A81C7C">
      <w:pPr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Cada entidad ejecuta las acciones que le corresponden e informa sobre el cumplimiento de las medidas o actuaciones realizadas.</w:t>
      </w:r>
    </w:p>
    <w:p w14:paraId="16D61948" w14:textId="77777777" w:rsidR="0090571B" w:rsidRPr="00A81C7C" w:rsidRDefault="0090571B" w:rsidP="00A81C7C">
      <w:pPr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La Comisaría consolida los avances y convoca, de ser necesario, la Mesa Interinstitucional de Justicia Familiar para resolver dificultades.</w:t>
      </w:r>
    </w:p>
    <w:p w14:paraId="2E949FE5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Cierre del caso y registro</w:t>
      </w:r>
    </w:p>
    <w:p w14:paraId="16C6EBA3" w14:textId="77777777" w:rsidR="0090571B" w:rsidRPr="00A81C7C" w:rsidRDefault="0090571B" w:rsidP="00A81C7C">
      <w:pPr>
        <w:numPr>
          <w:ilvl w:val="1"/>
          <w:numId w:val="12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Una vez finalizadas las actuaciones y verificadas las medidas, la Comisaría archiva el caso, dejando constancia en los sistemas de información y reportes mensuales a la autoridad territorial.</w:t>
      </w:r>
    </w:p>
    <w:p w14:paraId="684A7EB7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0CEC1CA8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6. Mecanismos de articulación</w:t>
      </w:r>
    </w:p>
    <w:p w14:paraId="59141B44" w14:textId="77777777" w:rsidR="0090571B" w:rsidRPr="00A81C7C" w:rsidRDefault="0090571B" w:rsidP="00A81C7C">
      <w:pPr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Mesas interinstitucionales:</w:t>
      </w:r>
      <w:r w:rsidRPr="00A81C7C">
        <w:rPr>
          <w:rFonts w:ascii="Arial" w:hAnsi="Arial" w:cs="Arial"/>
          <w:szCs w:val="24"/>
          <w:lang w:val="es-CO"/>
        </w:rPr>
        <w:t xml:space="preserve"> espacios de coordinación técnica y seguimiento a casos y rutas de atención.</w:t>
      </w:r>
    </w:p>
    <w:p w14:paraId="7366EF6B" w14:textId="77777777" w:rsidR="0090571B" w:rsidRPr="00A81C7C" w:rsidRDefault="0090571B" w:rsidP="00A81C7C">
      <w:pPr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Canales de comunicación institucional:</w:t>
      </w:r>
      <w:r w:rsidRPr="00A81C7C">
        <w:rPr>
          <w:rFonts w:ascii="Arial" w:hAnsi="Arial" w:cs="Arial"/>
          <w:szCs w:val="24"/>
          <w:lang w:val="es-CO"/>
        </w:rPr>
        <w:t xml:space="preserve"> correos oficiales, formatos de remisión y reuniones periódicas entre las entidades.</w:t>
      </w:r>
    </w:p>
    <w:p w14:paraId="4EFBD567" w14:textId="77777777" w:rsidR="0090571B" w:rsidRPr="00A81C7C" w:rsidRDefault="0090571B" w:rsidP="00A81C7C">
      <w:pPr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Sistemas de información compartidos:</w:t>
      </w:r>
      <w:r w:rsidRPr="00A81C7C">
        <w:rPr>
          <w:rFonts w:ascii="Arial" w:hAnsi="Arial" w:cs="Arial"/>
          <w:szCs w:val="24"/>
          <w:lang w:val="es-CO"/>
        </w:rPr>
        <w:t xml:space="preserve"> permiten registrar remisiones, actuaciones y resultados para asegurar trazabilidad.</w:t>
      </w:r>
    </w:p>
    <w:p w14:paraId="2E36C23C" w14:textId="77777777" w:rsidR="0090571B" w:rsidRPr="00A81C7C" w:rsidRDefault="0090571B" w:rsidP="00A81C7C">
      <w:pPr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Protocolos locales:</w:t>
      </w:r>
      <w:r w:rsidRPr="00A81C7C">
        <w:rPr>
          <w:rFonts w:ascii="Arial" w:hAnsi="Arial" w:cs="Arial"/>
          <w:szCs w:val="24"/>
          <w:lang w:val="es-CO"/>
        </w:rPr>
        <w:t xml:space="preserve"> cada entidad territorial podrá ajustar este protocolo a sus capacidades, conservando los principios de articulación nacional.</w:t>
      </w:r>
    </w:p>
    <w:p w14:paraId="05C64E45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23B551B5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lastRenderedPageBreak/>
        <w:t>7. Seguimiento y mejora continua</w:t>
      </w:r>
    </w:p>
    <w:p w14:paraId="7E0C5FC5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szCs w:val="24"/>
          <w:lang w:val="es-CO"/>
        </w:rPr>
        <w:t>El Ministerio de Justicia y del Derecho, como órgano rector, realizará la supervisión del cumplimiento de este protocolo mediante la consolidación de reportes territoriales y la actualización periódica del documento.</w:t>
      </w:r>
      <w:r w:rsidRPr="00A81C7C">
        <w:rPr>
          <w:rFonts w:ascii="Arial" w:hAnsi="Arial" w:cs="Arial"/>
          <w:szCs w:val="24"/>
          <w:lang w:val="es-CO"/>
        </w:rPr>
        <w:br/>
        <w:t>Las entidades participantes deberán designar puntos focales para garantizar la comunicación efectiva, el intercambio de información y la implementación de buenas prácticas.</w:t>
      </w:r>
    </w:p>
    <w:p w14:paraId="3BC312A9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szCs w:val="24"/>
          <w:lang w:val="es-CO"/>
        </w:rPr>
      </w:pPr>
    </w:p>
    <w:p w14:paraId="45AFAE3E" w14:textId="77777777" w:rsidR="0090571B" w:rsidRPr="00A81C7C" w:rsidRDefault="0090571B" w:rsidP="00A81C7C">
      <w:pPr>
        <w:spacing w:line="276" w:lineRule="auto"/>
        <w:jc w:val="both"/>
        <w:rPr>
          <w:rFonts w:ascii="Arial" w:hAnsi="Arial" w:cs="Arial"/>
          <w:b/>
          <w:bCs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8. Glosario básico</w:t>
      </w:r>
    </w:p>
    <w:p w14:paraId="2FE39432" w14:textId="7777777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Articulación interinstitucional:</w:t>
      </w:r>
      <w:r w:rsidRPr="00A81C7C">
        <w:rPr>
          <w:rFonts w:ascii="Arial" w:hAnsi="Arial" w:cs="Arial"/>
          <w:szCs w:val="24"/>
          <w:lang w:val="es-CO"/>
        </w:rPr>
        <w:t xml:space="preserve"> conjunto de acciones coordinadas entre las entidades que conforman el Sistema de Justicia Familiar y otros sectores involucrados, orientadas a compartir información pertinente, definir roles y responsabilidades, y ejecutar actuaciones complementarias frente a un caso o situación.</w:t>
      </w:r>
    </w:p>
    <w:p w14:paraId="48B9090C" w14:textId="7777777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Canal institucional:</w:t>
      </w:r>
      <w:r w:rsidRPr="00A81C7C">
        <w:rPr>
          <w:rFonts w:ascii="Arial" w:hAnsi="Arial" w:cs="Arial"/>
          <w:szCs w:val="24"/>
          <w:lang w:val="es-CO"/>
        </w:rPr>
        <w:t xml:space="preserve"> medio oficial definido por cada entidad para la comunicación y coordinación interinstitucional (por ejemplo: correo institucional, sistema de información, plataforma de radicación o comunicaciones escritas), excluyendo canales informales o personales.</w:t>
      </w:r>
    </w:p>
    <w:p w14:paraId="7D9CE4C0" w14:textId="7777777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Cierre del caso:</w:t>
      </w:r>
      <w:r w:rsidRPr="00A81C7C">
        <w:rPr>
          <w:rFonts w:ascii="Arial" w:hAnsi="Arial" w:cs="Arial"/>
          <w:szCs w:val="24"/>
          <w:lang w:val="es-CO"/>
        </w:rPr>
        <w:t xml:space="preserve"> momento en el cual la entidad competente, generalmente la Comisaría de Familia, determina que las actuaciones previstas se han cumplido y queda constancia de ello en los sistemas de información y en los soportes documentales correspondientes (por ejemplo, ficha de cierre o acta de cierre).</w:t>
      </w:r>
    </w:p>
    <w:p w14:paraId="0700A053" w14:textId="7777777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Flujo básico de remisión:</w:t>
      </w:r>
      <w:r w:rsidRPr="00A81C7C">
        <w:rPr>
          <w:rFonts w:ascii="Arial" w:hAnsi="Arial" w:cs="Arial"/>
          <w:szCs w:val="24"/>
          <w:lang w:val="es-CO"/>
        </w:rPr>
        <w:t xml:space="preserve"> secuencia ordenada de pasos que sigue un caso desde la recepción en la Comisaría de Familia (u otra entidad), pasando por la remisión a las entidades competentes, la ejecución de las actuaciones sectoriales y el retorno de la información para el seguimiento y cierre.</w:t>
      </w:r>
    </w:p>
    <w:p w14:paraId="3E134C52" w14:textId="7777777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Medida de protección:</w:t>
      </w:r>
      <w:r w:rsidRPr="00A81C7C">
        <w:rPr>
          <w:rFonts w:ascii="Arial" w:hAnsi="Arial" w:cs="Arial"/>
          <w:szCs w:val="24"/>
          <w:lang w:val="es-CO"/>
        </w:rPr>
        <w:t xml:space="preserve"> decisión administrativa o judicial adoptada para prevenir, mitigar o cesar situaciones de riesgo o violencia en el contexto familiar, cuya ejecución y seguimiento puede requerir la intervención coordinada de entidades.</w:t>
      </w:r>
    </w:p>
    <w:p w14:paraId="0563BA2A" w14:textId="7777777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Medio de verificación:</w:t>
      </w:r>
      <w:r w:rsidRPr="00A81C7C">
        <w:rPr>
          <w:rFonts w:ascii="Arial" w:hAnsi="Arial" w:cs="Arial"/>
          <w:szCs w:val="24"/>
          <w:lang w:val="es-CO"/>
        </w:rPr>
        <w:t xml:space="preserve"> documento, registro, acta, constancia o soporte que permite comprobar la realización de una actuación (por ejemplo: formato de remisión diligenciado, acuse de recibo, constancia de ejecución de medida, ficha de cierre).</w:t>
      </w:r>
    </w:p>
    <w:p w14:paraId="5DE97E99" w14:textId="7777777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Mesa Interinstitucional:</w:t>
      </w:r>
      <w:r w:rsidRPr="00A81C7C">
        <w:rPr>
          <w:rFonts w:ascii="Arial" w:hAnsi="Arial" w:cs="Arial"/>
          <w:szCs w:val="24"/>
          <w:lang w:val="es-CO"/>
        </w:rPr>
        <w:t xml:space="preserve"> espacio formal de coordinación técnica y operativa entre las entidades, donde se revisan casos, se acuerdan compromisos y se hace seguimiento a las rutas de atención.</w:t>
      </w:r>
    </w:p>
    <w:p w14:paraId="04161A99" w14:textId="77777777" w:rsidR="00BE0CA9" w:rsidRDefault="00BE0CA9" w:rsidP="00BE0CA9">
      <w:pPr>
        <w:pStyle w:val="Prrafodelista"/>
        <w:spacing w:line="276" w:lineRule="auto"/>
        <w:ind w:left="0"/>
        <w:jc w:val="both"/>
        <w:rPr>
          <w:rFonts w:ascii="Arial" w:hAnsi="Arial" w:cs="Arial"/>
          <w:szCs w:val="24"/>
          <w:lang w:val="es-CO"/>
        </w:rPr>
      </w:pPr>
    </w:p>
    <w:p w14:paraId="3F5140E3" w14:textId="77777777" w:rsidR="00BE0CA9" w:rsidRDefault="00BE0CA9" w:rsidP="00BE0CA9">
      <w:pPr>
        <w:pStyle w:val="Prrafodelista"/>
        <w:spacing w:line="276" w:lineRule="auto"/>
        <w:ind w:left="0"/>
        <w:jc w:val="both"/>
        <w:rPr>
          <w:rFonts w:ascii="Arial" w:hAnsi="Arial" w:cs="Arial"/>
          <w:szCs w:val="24"/>
          <w:lang w:val="es-CO"/>
        </w:rPr>
      </w:pPr>
    </w:p>
    <w:p w14:paraId="60F0C118" w14:textId="77777777" w:rsidR="00BE0CA9" w:rsidRPr="00BE0CA9" w:rsidRDefault="00BE0CA9" w:rsidP="00BE0CA9">
      <w:pPr>
        <w:pStyle w:val="Prrafodelista"/>
        <w:spacing w:line="276" w:lineRule="auto"/>
        <w:ind w:left="0"/>
        <w:jc w:val="both"/>
        <w:rPr>
          <w:rFonts w:ascii="Arial" w:hAnsi="Arial" w:cs="Arial"/>
          <w:szCs w:val="24"/>
          <w:lang w:val="es-CO"/>
        </w:rPr>
      </w:pPr>
    </w:p>
    <w:p w14:paraId="61AAAD44" w14:textId="6FD61CA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lastRenderedPageBreak/>
        <w:t>Punto focal:</w:t>
      </w:r>
      <w:r w:rsidRPr="00A81C7C">
        <w:rPr>
          <w:rFonts w:ascii="Arial" w:hAnsi="Arial" w:cs="Arial"/>
          <w:szCs w:val="24"/>
          <w:lang w:val="es-CO"/>
        </w:rPr>
        <w:t xml:space="preserve"> persona o cargo designado por cada entidad para recibir remisiones, coordinar actuaciones, responder requerimientos de información y servir de enlace permanente en la articulación interinstitucional.</w:t>
      </w:r>
    </w:p>
    <w:p w14:paraId="6BC5E2F1" w14:textId="7777777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Remisión:</w:t>
      </w:r>
      <w:r w:rsidRPr="00A81C7C">
        <w:rPr>
          <w:rFonts w:ascii="Arial" w:hAnsi="Arial" w:cs="Arial"/>
          <w:szCs w:val="24"/>
          <w:lang w:val="es-CO"/>
        </w:rPr>
        <w:t xml:space="preserve"> envío formal de un caso, actuación o solicitud de intervención a otra entidad competente, por medio de canales institucionales y utilizando los formatos definidos, con el fin de activar una respuesta específica o complementaria.</w:t>
      </w:r>
    </w:p>
    <w:p w14:paraId="21A01E34" w14:textId="7777777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Seguimiento:</w:t>
      </w:r>
      <w:r w:rsidRPr="00A81C7C">
        <w:rPr>
          <w:rFonts w:ascii="Arial" w:hAnsi="Arial" w:cs="Arial"/>
          <w:szCs w:val="24"/>
          <w:lang w:val="es-CO"/>
        </w:rPr>
        <w:t xml:space="preserve"> conjunto de acciones orientadas a verificar el avance y cumplimiento de las medidas adoptadas, los compromisos interinstitucionales y las rutas de atención definidas para un caso, incluyendo la actualización de registros y la revisión en mesas interinstitucionales.</w:t>
      </w:r>
    </w:p>
    <w:p w14:paraId="16B3850A" w14:textId="7777777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Sistema de Justicia Familiar</w:t>
      </w:r>
      <w:r w:rsidRPr="00A81C7C">
        <w:rPr>
          <w:rFonts w:ascii="Arial" w:hAnsi="Arial" w:cs="Arial"/>
          <w:szCs w:val="24"/>
          <w:lang w:val="es-CO"/>
        </w:rPr>
        <w:t>: conjunto de instituciones administrativas, judiciales y de control que actúan coordinadamente para prevenir, atender, proteger y hacer seguimiento frente a la violencia en el contexto familiar, de conformidad con la Ley 2126 de 2021.</w:t>
      </w:r>
    </w:p>
    <w:p w14:paraId="00038370" w14:textId="77777777" w:rsidR="007A1EB7" w:rsidRPr="00A81C7C" w:rsidRDefault="007A1EB7" w:rsidP="00A81C7C">
      <w:pPr>
        <w:pStyle w:val="Prrafodelista"/>
        <w:numPr>
          <w:ilvl w:val="0"/>
          <w:numId w:val="13"/>
        </w:numPr>
        <w:spacing w:line="276" w:lineRule="auto"/>
        <w:ind w:left="0" w:firstLine="0"/>
        <w:jc w:val="both"/>
        <w:rPr>
          <w:rFonts w:ascii="Arial" w:hAnsi="Arial" w:cs="Arial"/>
          <w:szCs w:val="24"/>
          <w:lang w:val="es-CO"/>
        </w:rPr>
      </w:pPr>
      <w:r w:rsidRPr="00A81C7C">
        <w:rPr>
          <w:rFonts w:ascii="Arial" w:hAnsi="Arial" w:cs="Arial"/>
          <w:b/>
          <w:bCs/>
          <w:szCs w:val="24"/>
          <w:lang w:val="es-CO"/>
        </w:rPr>
        <w:t>Violencia en el contexto familiar</w:t>
      </w:r>
      <w:r w:rsidRPr="00A81C7C">
        <w:rPr>
          <w:rFonts w:ascii="Arial" w:hAnsi="Arial" w:cs="Arial"/>
          <w:szCs w:val="24"/>
          <w:lang w:val="es-CO"/>
        </w:rPr>
        <w:t>: hechos, situaciones o patrones de maltrato físico, psicológico, sexual, económico o de cualquier otra naturaleza que se producen en el marco de relaciones familiares o de convivencia, y que requieren intervención coordinada de las entidades del Sistema de Justicia Familiar.</w:t>
      </w:r>
    </w:p>
    <w:p w14:paraId="4C4E3EA7" w14:textId="77777777" w:rsidR="005641ED" w:rsidRPr="000572DC" w:rsidRDefault="005641ED" w:rsidP="0090571B">
      <w:pPr>
        <w:spacing w:line="276" w:lineRule="auto"/>
        <w:ind w:firstLine="720"/>
        <w:jc w:val="both"/>
        <w:rPr>
          <w:rFonts w:ascii="Century Gothic" w:hAnsi="Century Gothic"/>
          <w:b/>
          <w:bCs/>
          <w:lang w:val="es-CO"/>
        </w:rPr>
      </w:pPr>
    </w:p>
    <w:sectPr w:rsidR="005641ED" w:rsidRPr="000572DC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FE095" w14:textId="77777777" w:rsidR="009B4D85" w:rsidRDefault="009B4D85">
      <w:r>
        <w:separator/>
      </w:r>
    </w:p>
  </w:endnote>
  <w:endnote w:type="continuationSeparator" w:id="0">
    <w:p w14:paraId="23815D30" w14:textId="77777777" w:rsidR="009B4D85" w:rsidRDefault="009B4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39367498" w14:paraId="0B9EEA6F" w14:textId="77777777" w:rsidTr="39367498">
      <w:trPr>
        <w:trHeight w:val="300"/>
      </w:trPr>
      <w:tc>
        <w:tcPr>
          <w:tcW w:w="2945" w:type="dxa"/>
        </w:tcPr>
        <w:p w14:paraId="6F515DFC" w14:textId="6C0AA611" w:rsidR="39367498" w:rsidRDefault="39367498" w:rsidP="39367498">
          <w:pPr>
            <w:pStyle w:val="Encabezado"/>
            <w:ind w:left="-115"/>
          </w:pPr>
        </w:p>
      </w:tc>
      <w:tc>
        <w:tcPr>
          <w:tcW w:w="2945" w:type="dxa"/>
        </w:tcPr>
        <w:p w14:paraId="0DE534FF" w14:textId="6F4A3988" w:rsidR="39367498" w:rsidRDefault="39367498" w:rsidP="39367498">
          <w:pPr>
            <w:pStyle w:val="Encabezado"/>
            <w:jc w:val="center"/>
          </w:pPr>
        </w:p>
      </w:tc>
      <w:tc>
        <w:tcPr>
          <w:tcW w:w="2945" w:type="dxa"/>
        </w:tcPr>
        <w:p w14:paraId="75A2FAB6" w14:textId="105C469C" w:rsidR="39367498" w:rsidRDefault="39367498" w:rsidP="39367498">
          <w:pPr>
            <w:pStyle w:val="Encabezado"/>
            <w:ind w:right="-115"/>
            <w:jc w:val="right"/>
          </w:pPr>
        </w:p>
      </w:tc>
    </w:tr>
  </w:tbl>
  <w:p w14:paraId="77866A8C" w14:textId="0D8E0860" w:rsidR="39367498" w:rsidRDefault="00CF4F4F" w:rsidP="39367498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D2049D" wp14:editId="316A9D5C">
              <wp:simplePos x="0" y="0"/>
              <wp:positionH relativeFrom="margin">
                <wp:align>center</wp:align>
              </wp:positionH>
              <wp:positionV relativeFrom="paragraph">
                <wp:posOffset>-510540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0E8BAA3" w14:textId="77777777" w:rsidR="00CF4F4F" w:rsidRPr="00256928" w:rsidRDefault="00CF4F4F" w:rsidP="00CF4F4F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4B4CAF9E" w14:textId="77777777" w:rsidR="00CF4F4F" w:rsidRPr="000A64B1" w:rsidRDefault="00CF4F4F" w:rsidP="00CF4F4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57FA2746" w14:textId="77777777" w:rsidR="00CF4F4F" w:rsidRPr="000A64B1" w:rsidRDefault="00CF4F4F" w:rsidP="00CF4F4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32C19155" w14:textId="77777777" w:rsidR="00CF4F4F" w:rsidRPr="000A64B1" w:rsidRDefault="00CF4F4F" w:rsidP="00CF4F4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46F128BE" w14:textId="77777777" w:rsidR="00CF4F4F" w:rsidRPr="000A64B1" w:rsidRDefault="00CF4F4F" w:rsidP="00CF4F4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2CB4EA13" w14:textId="77777777" w:rsidR="00CF4F4F" w:rsidRPr="000A64B1" w:rsidRDefault="00CF4F4F" w:rsidP="00CF4F4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3384A7B4" w14:textId="77777777" w:rsidR="00CF4F4F" w:rsidRPr="000A64B1" w:rsidRDefault="00CF4F4F" w:rsidP="00CF4F4F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03228534" w14:textId="77777777" w:rsidR="00CF4F4F" w:rsidRPr="0046137B" w:rsidRDefault="00CF4F4F" w:rsidP="00CF4F4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D2049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40.2pt;width:474.75pt;height:96.8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" filled="f" stroked="f" strokeweight=".5pt">
              <v:textbox>
                <w:txbxContent>
                  <w:p w14:paraId="10E8BAA3" w14:textId="77777777" w:rsidR="00CF4F4F" w:rsidRPr="00256928" w:rsidRDefault="00CF4F4F" w:rsidP="00CF4F4F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4B4CAF9E" w14:textId="77777777" w:rsidR="00CF4F4F" w:rsidRPr="000A64B1" w:rsidRDefault="00CF4F4F" w:rsidP="00CF4F4F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57FA2746" w14:textId="77777777" w:rsidR="00CF4F4F" w:rsidRPr="000A64B1" w:rsidRDefault="00CF4F4F" w:rsidP="00CF4F4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32C19155" w14:textId="77777777" w:rsidR="00CF4F4F" w:rsidRPr="000A64B1" w:rsidRDefault="00CF4F4F" w:rsidP="00CF4F4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46F128BE" w14:textId="77777777" w:rsidR="00CF4F4F" w:rsidRPr="000A64B1" w:rsidRDefault="00CF4F4F" w:rsidP="00CF4F4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2CB4EA13" w14:textId="77777777" w:rsidR="00CF4F4F" w:rsidRPr="000A64B1" w:rsidRDefault="00CF4F4F" w:rsidP="00CF4F4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3384A7B4" w14:textId="77777777" w:rsidR="00CF4F4F" w:rsidRPr="000A64B1" w:rsidRDefault="00CF4F4F" w:rsidP="00CF4F4F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03228534" w14:textId="77777777" w:rsidR="00CF4F4F" w:rsidRPr="0046137B" w:rsidRDefault="00CF4F4F" w:rsidP="00CF4F4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52263" w14:textId="77777777" w:rsidR="009B4D85" w:rsidRDefault="009B4D85">
      <w:r>
        <w:separator/>
      </w:r>
    </w:p>
  </w:footnote>
  <w:footnote w:type="continuationSeparator" w:id="0">
    <w:p w14:paraId="4F300601" w14:textId="77777777" w:rsidR="009B4D85" w:rsidRDefault="009B4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08135" w14:textId="3A70FD5B" w:rsidR="39367498" w:rsidRDefault="00BE0CA9" w:rsidP="39367498">
    <w:pPr>
      <w:pStyle w:val="Encabezado"/>
    </w:pP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1BB47231" wp14:editId="23765366">
          <wp:simplePos x="0" y="0"/>
          <wp:positionH relativeFrom="page">
            <wp:align>left</wp:align>
          </wp:positionH>
          <wp:positionV relativeFrom="paragraph">
            <wp:posOffset>-846455</wp:posOffset>
          </wp:positionV>
          <wp:extent cx="7756896" cy="10051011"/>
          <wp:effectExtent l="0" t="0" r="0" b="0"/>
          <wp:wrapNone/>
          <wp:docPr id="1615993281" name="Imagen 1615993281" descr="Fondo negro con letras blanc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 descr="Fondo negro con letras blanc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11FE6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451C2"/>
    <w:multiLevelType w:val="multilevel"/>
    <w:tmpl w:val="DE5C2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157FB6"/>
    <w:multiLevelType w:val="multilevel"/>
    <w:tmpl w:val="92B4A6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9401F1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34F9D"/>
    <w:multiLevelType w:val="multilevel"/>
    <w:tmpl w:val="FEB2B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414F4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1B055A"/>
    <w:multiLevelType w:val="multilevel"/>
    <w:tmpl w:val="7C0A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650037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6A110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F00475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0D53D2D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1F507E"/>
    <w:multiLevelType w:val="multilevel"/>
    <w:tmpl w:val="899A4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47552C"/>
    <w:multiLevelType w:val="multilevel"/>
    <w:tmpl w:val="059A2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04915F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E737E2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DB926EF"/>
    <w:multiLevelType w:val="multilevel"/>
    <w:tmpl w:val="DE84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701942"/>
    <w:multiLevelType w:val="multilevel"/>
    <w:tmpl w:val="7C0A2C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079424">
    <w:abstractNumId w:val="2"/>
  </w:num>
  <w:num w:numId="2" w16cid:durableId="1262105154">
    <w:abstractNumId w:val="12"/>
  </w:num>
  <w:num w:numId="3" w16cid:durableId="83259107">
    <w:abstractNumId w:val="14"/>
  </w:num>
  <w:num w:numId="4" w16cid:durableId="631525056">
    <w:abstractNumId w:val="9"/>
  </w:num>
  <w:num w:numId="5" w16cid:durableId="498345606">
    <w:abstractNumId w:val="10"/>
  </w:num>
  <w:num w:numId="6" w16cid:durableId="277370829">
    <w:abstractNumId w:val="5"/>
  </w:num>
  <w:num w:numId="7" w16cid:durableId="1993366968">
    <w:abstractNumId w:val="0"/>
  </w:num>
  <w:num w:numId="8" w16cid:durableId="745615592">
    <w:abstractNumId w:val="3"/>
  </w:num>
  <w:num w:numId="9" w16cid:durableId="1710639217">
    <w:abstractNumId w:val="15"/>
  </w:num>
  <w:num w:numId="10" w16cid:durableId="698163457">
    <w:abstractNumId w:val="8"/>
  </w:num>
  <w:num w:numId="11" w16cid:durableId="1173060259">
    <w:abstractNumId w:val="11"/>
  </w:num>
  <w:num w:numId="12" w16cid:durableId="510484735">
    <w:abstractNumId w:val="1"/>
  </w:num>
  <w:num w:numId="13" w16cid:durableId="439103986">
    <w:abstractNumId w:val="13"/>
  </w:num>
  <w:num w:numId="14" w16cid:durableId="2105420087">
    <w:abstractNumId w:val="7"/>
  </w:num>
  <w:num w:numId="15" w16cid:durableId="260068559">
    <w:abstractNumId w:val="6"/>
  </w:num>
  <w:num w:numId="16" w16cid:durableId="468864237">
    <w:abstractNumId w:val="16"/>
  </w:num>
  <w:num w:numId="17" w16cid:durableId="2049538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1B"/>
    <w:rsid w:val="00116E30"/>
    <w:rsid w:val="00154898"/>
    <w:rsid w:val="00186CCF"/>
    <w:rsid w:val="001E0E75"/>
    <w:rsid w:val="00276A87"/>
    <w:rsid w:val="003B3970"/>
    <w:rsid w:val="003D64A5"/>
    <w:rsid w:val="004806C5"/>
    <w:rsid w:val="004A1DB2"/>
    <w:rsid w:val="004C3C4B"/>
    <w:rsid w:val="004E2F1C"/>
    <w:rsid w:val="004F1A7E"/>
    <w:rsid w:val="00530C05"/>
    <w:rsid w:val="005641ED"/>
    <w:rsid w:val="0063035D"/>
    <w:rsid w:val="006440D2"/>
    <w:rsid w:val="00675E69"/>
    <w:rsid w:val="0069739D"/>
    <w:rsid w:val="006C494E"/>
    <w:rsid w:val="006D7260"/>
    <w:rsid w:val="006E1919"/>
    <w:rsid w:val="00747851"/>
    <w:rsid w:val="00784F93"/>
    <w:rsid w:val="007A1EB7"/>
    <w:rsid w:val="007D6A6F"/>
    <w:rsid w:val="00873DED"/>
    <w:rsid w:val="008B65EB"/>
    <w:rsid w:val="008F2C3A"/>
    <w:rsid w:val="008F4439"/>
    <w:rsid w:val="0090571B"/>
    <w:rsid w:val="00916FAB"/>
    <w:rsid w:val="00984618"/>
    <w:rsid w:val="009A3C18"/>
    <w:rsid w:val="009B17AA"/>
    <w:rsid w:val="009B4D85"/>
    <w:rsid w:val="009D2C06"/>
    <w:rsid w:val="009F2B5F"/>
    <w:rsid w:val="00A146D7"/>
    <w:rsid w:val="00A81C7C"/>
    <w:rsid w:val="00AA2D50"/>
    <w:rsid w:val="00AD7E38"/>
    <w:rsid w:val="00B37C89"/>
    <w:rsid w:val="00BE0CA9"/>
    <w:rsid w:val="00C25505"/>
    <w:rsid w:val="00C67B8F"/>
    <w:rsid w:val="00CF05DF"/>
    <w:rsid w:val="00CF4F4F"/>
    <w:rsid w:val="00DD25DC"/>
    <w:rsid w:val="00E643DE"/>
    <w:rsid w:val="00E7061A"/>
    <w:rsid w:val="00E825DE"/>
    <w:rsid w:val="1775FD11"/>
    <w:rsid w:val="2600F1E7"/>
    <w:rsid w:val="2910B801"/>
    <w:rsid w:val="2E708A86"/>
    <w:rsid w:val="39367498"/>
    <w:rsid w:val="56122DA9"/>
    <w:rsid w:val="5CACDA99"/>
    <w:rsid w:val="6211EE73"/>
    <w:rsid w:val="6C54C6F3"/>
    <w:rsid w:val="6D169676"/>
    <w:rsid w:val="7CD51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66E1F9"/>
  <w15:chartTrackingRefBased/>
  <w15:docId w15:val="{6E507F69-FC6A-4706-A8ED-D46539139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Arial MT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71B"/>
    <w:pPr>
      <w:widowControl w:val="0"/>
      <w:autoSpaceDE w:val="0"/>
      <w:autoSpaceDN w:val="0"/>
      <w:spacing w:after="0" w:line="240" w:lineRule="auto"/>
    </w:pPr>
    <w:rPr>
      <w:rFonts w:ascii="Times New Roman" w:hAnsi="Times New Roman" w:cs="Arial MT"/>
      <w:kern w:val="0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057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57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571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571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571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571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571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571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571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571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s-ES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571B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s-ES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571B"/>
    <w:rPr>
      <w:rFonts w:eastAsiaTheme="majorEastAsia" w:cstheme="majorBidi"/>
      <w:color w:val="0F4761" w:themeColor="accent1" w:themeShade="BF"/>
      <w:kern w:val="0"/>
      <w:sz w:val="28"/>
      <w:szCs w:val="28"/>
      <w:lang w:val="es-ES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571B"/>
    <w:rPr>
      <w:rFonts w:eastAsiaTheme="majorEastAsia" w:cstheme="majorBidi"/>
      <w:i/>
      <w:iCs/>
      <w:color w:val="0F4761" w:themeColor="accent1" w:themeShade="BF"/>
      <w:kern w:val="0"/>
      <w:szCs w:val="22"/>
      <w:lang w:val="es-ES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571B"/>
    <w:rPr>
      <w:rFonts w:eastAsiaTheme="majorEastAsia" w:cstheme="majorBidi"/>
      <w:color w:val="0F4761" w:themeColor="accent1" w:themeShade="BF"/>
      <w:kern w:val="0"/>
      <w:szCs w:val="22"/>
      <w:lang w:val="es-ES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571B"/>
    <w:rPr>
      <w:rFonts w:eastAsiaTheme="majorEastAsia" w:cstheme="majorBidi"/>
      <w:i/>
      <w:iCs/>
      <w:color w:val="595959" w:themeColor="text1" w:themeTint="A6"/>
      <w:kern w:val="0"/>
      <w:szCs w:val="22"/>
      <w:lang w:val="es-ES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571B"/>
    <w:rPr>
      <w:rFonts w:eastAsiaTheme="majorEastAsia" w:cstheme="majorBidi"/>
      <w:color w:val="595959" w:themeColor="text1" w:themeTint="A6"/>
      <w:kern w:val="0"/>
      <w:szCs w:val="22"/>
      <w:lang w:val="es-ES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571B"/>
    <w:rPr>
      <w:rFonts w:eastAsiaTheme="majorEastAsia" w:cstheme="majorBidi"/>
      <w:i/>
      <w:iCs/>
      <w:color w:val="272727" w:themeColor="text1" w:themeTint="D8"/>
      <w:kern w:val="0"/>
      <w:szCs w:val="22"/>
      <w:lang w:val="es-ES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571B"/>
    <w:rPr>
      <w:rFonts w:eastAsiaTheme="majorEastAsia" w:cstheme="majorBidi"/>
      <w:color w:val="272727" w:themeColor="text1" w:themeTint="D8"/>
      <w:kern w:val="0"/>
      <w:szCs w:val="22"/>
      <w:lang w:val="es-ES"/>
      <w14:ligatures w14:val="none"/>
    </w:rPr>
  </w:style>
  <w:style w:type="paragraph" w:styleId="Ttulo">
    <w:name w:val="Title"/>
    <w:basedOn w:val="Normal"/>
    <w:next w:val="Normal"/>
    <w:link w:val="TtuloCar"/>
    <w:uiPriority w:val="10"/>
    <w:qFormat/>
    <w:rsid w:val="009057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0571B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none"/>
    </w:rPr>
  </w:style>
  <w:style w:type="paragraph" w:styleId="Subttulo">
    <w:name w:val="Subtitle"/>
    <w:basedOn w:val="Normal"/>
    <w:next w:val="Normal"/>
    <w:link w:val="SubttuloCar"/>
    <w:uiPriority w:val="11"/>
    <w:qFormat/>
    <w:rsid w:val="0090571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0571B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es-ES"/>
      <w14:ligatures w14:val="none"/>
    </w:rPr>
  </w:style>
  <w:style w:type="paragraph" w:styleId="Cita">
    <w:name w:val="Quote"/>
    <w:basedOn w:val="Normal"/>
    <w:next w:val="Normal"/>
    <w:link w:val="CitaCar"/>
    <w:uiPriority w:val="29"/>
    <w:qFormat/>
    <w:rsid w:val="009057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0571B"/>
    <w:rPr>
      <w:rFonts w:ascii="Times New Roman" w:hAnsi="Times New Roman" w:cs="Arial MT"/>
      <w:i/>
      <w:iCs/>
      <w:color w:val="404040" w:themeColor="text1" w:themeTint="BF"/>
      <w:kern w:val="0"/>
      <w:szCs w:val="22"/>
      <w:lang w:val="es-ES"/>
      <w14:ligatures w14:val="none"/>
    </w:rPr>
  </w:style>
  <w:style w:type="paragraph" w:styleId="Prrafodelista">
    <w:name w:val="List Paragraph"/>
    <w:basedOn w:val="Normal"/>
    <w:uiPriority w:val="34"/>
    <w:qFormat/>
    <w:rsid w:val="0090571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0571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57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571B"/>
    <w:rPr>
      <w:rFonts w:ascii="Times New Roman" w:hAnsi="Times New Roman" w:cs="Arial MT"/>
      <w:i/>
      <w:iCs/>
      <w:color w:val="0F4761" w:themeColor="accent1" w:themeShade="BF"/>
      <w:kern w:val="0"/>
      <w:szCs w:val="22"/>
      <w:lang w:val="es-ES"/>
      <w14:ligatures w14:val="none"/>
    </w:rPr>
  </w:style>
  <w:style w:type="character" w:styleId="Referenciaintensa">
    <w:name w:val="Intense Reference"/>
    <w:basedOn w:val="Fuentedeprrafopredeter"/>
    <w:uiPriority w:val="32"/>
    <w:qFormat/>
    <w:rsid w:val="0090571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uiPriority w:val="99"/>
    <w:unhideWhenUsed/>
    <w:rsid w:val="39367498"/>
    <w:pPr>
      <w:tabs>
        <w:tab w:val="center" w:pos="4680"/>
        <w:tab w:val="right" w:pos="9360"/>
      </w:tabs>
    </w:pPr>
  </w:style>
  <w:style w:type="paragraph" w:styleId="Piedepgina">
    <w:name w:val="footer"/>
    <w:basedOn w:val="Normal"/>
    <w:uiPriority w:val="99"/>
    <w:unhideWhenUsed/>
    <w:rsid w:val="39367498"/>
    <w:pPr>
      <w:tabs>
        <w:tab w:val="center" w:pos="4680"/>
        <w:tab w:val="right" w:pos="9360"/>
      </w:tabs>
    </w:p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Times New Roman" w:hAnsi="Times New Roman" w:cs="Arial MT"/>
      <w:kern w:val="0"/>
      <w:sz w:val="20"/>
      <w:szCs w:val="20"/>
      <w:lang w:val="es-ES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D7E3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D7E38"/>
    <w:rPr>
      <w:rFonts w:ascii="Times New Roman" w:hAnsi="Times New Roman" w:cs="Arial MT"/>
      <w:b/>
      <w:bCs/>
      <w:kern w:val="0"/>
      <w:sz w:val="20"/>
      <w:szCs w:val="20"/>
      <w:lang w:val="es-ES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9F2B5F"/>
    <w:pPr>
      <w:widowControl/>
      <w:autoSpaceDE/>
      <w:autoSpaceDN/>
      <w:spacing w:before="100" w:beforeAutospacing="1" w:after="100" w:afterAutospacing="1"/>
    </w:pPr>
    <w:rPr>
      <w:rFonts w:eastAsia="Times New Roman" w:cs="Times New Roman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B09D3CCE-56D6-43F7-8C68-FFF2919356A9}"/>
</file>

<file path=customXml/itemProps2.xml><?xml version="1.0" encoding="utf-8"?>
<ds:datastoreItem xmlns:ds="http://schemas.openxmlformats.org/officeDocument/2006/customXml" ds:itemID="{22FC7796-3D5D-4E37-9B9A-E9AF47F915F4}"/>
</file>

<file path=customXml/itemProps3.xml><?xml version="1.0" encoding="utf-8"?>
<ds:datastoreItem xmlns:ds="http://schemas.openxmlformats.org/officeDocument/2006/customXml" ds:itemID="{97876B8F-4DC4-48B0-BA86-5742F43670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1900</Words>
  <Characters>10451</Characters>
  <Application>Microsoft Office Word</Application>
  <DocSecurity>0</DocSecurity>
  <Lines>87</Lines>
  <Paragraphs>24</Paragraphs>
  <ScaleCrop>false</ScaleCrop>
  <Company/>
  <LinksUpToDate>false</LinksUpToDate>
  <CharactersWithSpaces>12327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Xiomara Molano Quijano</dc:creator>
  <cp:keywords/>
  <dc:description/>
  <cp:lastModifiedBy>Kelly Xiomara Molano Quijano</cp:lastModifiedBy>
  <cp:revision>48</cp:revision>
  <dcterms:created xsi:type="dcterms:W3CDTF">2025-11-06T20:27:00Z</dcterms:created>
  <dcterms:modified xsi:type="dcterms:W3CDTF">2025-12-26T13:57:00Z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19434200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